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Bookman Old Style" w:cs="Bookman Old Style" w:eastAsia="Bookman Old Style" w:hAnsi="Bookman Old Style"/>
          <w:sz w:val="36"/>
          <w:szCs w:val="36"/>
        </w:rPr>
      </w:pPr>
      <w:r w:rsidDel="00000000" w:rsidR="00000000" w:rsidRPr="00000000">
        <w:rPr>
          <w:rFonts w:ascii="Bookman Old Style" w:cs="Bookman Old Style" w:eastAsia="Bookman Old Style" w:hAnsi="Bookman Old Style"/>
          <w:sz w:val="36"/>
          <w:szCs w:val="36"/>
          <w:rtl w:val="0"/>
        </w:rPr>
        <w:t xml:space="preserve">United with Christ</w:t>
      </w:r>
    </w:p>
    <w:p w:rsidR="00000000" w:rsidDel="00000000" w:rsidP="00000000" w:rsidRDefault="00000000" w:rsidRPr="00000000" w14:paraId="00000002">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Perhaps the most common way the New Testament refers to Christians is as those who are “in Christ”: those who are united with Christ. As we shall see, this union with Christ is right at the heart of who we are as Christians, how we are saved, how we are to live as Christians, our hope for the future.</w:t>
      </w:r>
    </w:p>
    <w:p w:rsidR="00000000" w:rsidDel="00000000" w:rsidP="00000000" w:rsidRDefault="00000000" w:rsidRPr="00000000" w14:paraId="00000003">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This course United with Christ dwells on what Jesus' cross and resurrection achieved, and how that changes everything for us. It is a deep dive into 9 big ideas from the Bible on what being "in Christ" means, and makes a perfect devotional tool for those wanting to meditate on these truths and draw closer to Christ.</w:t>
      </w:r>
    </w:p>
    <w:p w:rsidR="00000000" w:rsidDel="00000000" w:rsidP="00000000" w:rsidRDefault="00000000" w:rsidRPr="00000000" w14:paraId="00000004">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You'll cover:</w:t>
      </w:r>
      <w:r w:rsidDel="00000000" w:rsidR="00000000" w:rsidRPr="00000000">
        <w:drawing>
          <wp:anchor allowOverlap="1" behindDoc="0" distB="114300" distT="114300" distL="114300" distR="114300" hidden="0" layoutInCell="1" locked="0" relativeHeight="0" simplePos="0">
            <wp:simplePos x="0" y="0"/>
            <wp:positionH relativeFrom="column">
              <wp:posOffset>3219450</wp:posOffset>
            </wp:positionH>
            <wp:positionV relativeFrom="paragraph">
              <wp:posOffset>323850</wp:posOffset>
            </wp:positionV>
            <wp:extent cx="2243138" cy="2239411"/>
            <wp:effectExtent b="0" l="0" r="0" t="0"/>
            <wp:wrapNone/>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243138" cy="2239411"/>
                    </a:xfrm>
                    <a:prstGeom prst="rect"/>
                    <a:ln/>
                  </pic:spPr>
                </pic:pic>
              </a:graphicData>
            </a:graphic>
          </wp:anchor>
        </w:drawing>
      </w:r>
    </w:p>
    <w:p w:rsidR="00000000" w:rsidDel="00000000" w:rsidP="00000000" w:rsidRDefault="00000000" w:rsidRPr="00000000" w14:paraId="00000005">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1. A relational connection</w:t>
      </w:r>
    </w:p>
    <w:p w:rsidR="00000000" w:rsidDel="00000000" w:rsidP="00000000" w:rsidRDefault="00000000" w:rsidRPr="00000000" w14:paraId="00000006">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2. An organic connection</w:t>
      </w:r>
    </w:p>
    <w:p w:rsidR="00000000" w:rsidDel="00000000" w:rsidP="00000000" w:rsidRDefault="00000000" w:rsidRPr="00000000" w14:paraId="00000007">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3. We share Christ's standing</w:t>
      </w:r>
    </w:p>
    <w:p w:rsidR="00000000" w:rsidDel="00000000" w:rsidP="00000000" w:rsidRDefault="00000000" w:rsidRPr="00000000" w14:paraId="00000008">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4. We share Christ's sonship</w:t>
      </w:r>
    </w:p>
    <w:p w:rsidR="00000000" w:rsidDel="00000000" w:rsidP="00000000" w:rsidRDefault="00000000" w:rsidRPr="00000000" w14:paraId="00000009">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5. We share Christ's people</w:t>
      </w:r>
    </w:p>
    <w:p w:rsidR="00000000" w:rsidDel="00000000" w:rsidP="00000000" w:rsidRDefault="00000000" w:rsidRPr="00000000" w14:paraId="0000000A">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6. We share Christ's trajectory</w:t>
      </w:r>
    </w:p>
    <w:p w:rsidR="00000000" w:rsidDel="00000000" w:rsidP="00000000" w:rsidRDefault="00000000" w:rsidRPr="00000000" w14:paraId="0000000B">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7. We share Christ's life</w:t>
      </w:r>
    </w:p>
    <w:p w:rsidR="00000000" w:rsidDel="00000000" w:rsidP="00000000" w:rsidRDefault="00000000" w:rsidRPr="00000000" w14:paraId="0000000C">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8. We share Christ's inheritance</w:t>
      </w:r>
    </w:p>
    <w:p w:rsidR="00000000" w:rsidDel="00000000" w:rsidP="00000000" w:rsidRDefault="00000000" w:rsidRPr="00000000" w14:paraId="0000000D">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9. Remaining in Christ</w:t>
      </w:r>
    </w:p>
    <w:p w:rsidR="00000000" w:rsidDel="00000000" w:rsidP="00000000" w:rsidRDefault="00000000" w:rsidRPr="00000000" w14:paraId="0000000E">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You can take this course as part of a group or on your own, working at a pace that suits you.</w:t>
      </w:r>
    </w:p>
    <w:p w:rsidR="00000000" w:rsidDel="00000000" w:rsidP="00000000" w:rsidRDefault="00000000" w:rsidRPr="00000000" w14:paraId="0000000F">
      <w:pPr>
        <w:pBdr>
          <w:top w:color="4a5568" w:space="0" w:sz="0" w:val="none"/>
          <w:left w:color="4a5568" w:space="0" w:sz="0" w:val="none"/>
          <w:bottom w:color="4a5568" w:space="0" w:sz="0" w:val="none"/>
          <w:right w:color="4a5568" w:space="0" w:sz="0" w:val="none"/>
          <w:between w:color="4a5568" w:space="0" w:sz="0" w:val="none"/>
        </w:pBdr>
        <w:shd w:fill="ffffff" w:val="clear"/>
        <w:spacing w:after="240" w:before="240" w:lineRule="auto"/>
        <w:rPr>
          <w:rFonts w:ascii="Lato" w:cs="Lato" w:eastAsia="Lato" w:hAnsi="Lato"/>
        </w:rPr>
      </w:pPr>
      <w:r w:rsidDel="00000000" w:rsidR="00000000" w:rsidRPr="00000000">
        <w:rPr>
          <w:rFonts w:ascii="Lato" w:cs="Lato" w:eastAsia="Lato" w:hAnsi="Lato"/>
          <w:rtl w:val="0"/>
        </w:rPr>
        <w:t xml:space="preserve">It's particularly well suited to taking during Lent, and has a set of interactive games and downloadable flashcards to help you learn the ideas within.</w:t>
        <w:br w:type="textWrapping"/>
        <w:br w:type="textWrapping"/>
      </w:r>
    </w:p>
    <w:p w:rsidR="00000000" w:rsidDel="00000000" w:rsidP="00000000" w:rsidRDefault="00000000" w:rsidRPr="00000000" w14:paraId="00000010">
      <w:pPr>
        <w:rPr>
          <w:rFonts w:ascii="Lato" w:cs="Lato" w:eastAsia="Lato" w:hAnsi="Lato"/>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3990975</wp:posOffset>
          </wp:positionH>
          <wp:positionV relativeFrom="paragraph">
            <wp:posOffset>-342899</wp:posOffset>
          </wp:positionV>
          <wp:extent cx="2595563" cy="93597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95563" cy="93597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